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                                                 </w:t>
      </w:r>
    </w:p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                                                   МБОУ СОШ с. КАРМАН</w:t>
      </w:r>
    </w:p>
    <w:tbl>
      <w:tblPr>
        <w:tblStyle w:val="7"/>
        <w:tblpPr w:leftFromText="180" w:rightFromText="180" w:vertAnchor="text" w:horzAnchor="page" w:tblpX="803" w:tblpY="541"/>
        <w:tblOverlap w:val="never"/>
        <w:tblW w:w="10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3"/>
        <w:gridCol w:w="4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Согласовано</w:t>
            </w:r>
          </w:p>
        </w:tc>
        <w:tc>
          <w:tcPr>
            <w:tcW w:w="4765" w:type="dxa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Заместитель директора по ВР</w:t>
            </w:r>
          </w:p>
        </w:tc>
        <w:tc>
          <w:tcPr>
            <w:tcW w:w="4765" w:type="dxa"/>
          </w:tcPr>
          <w:p>
            <w:pP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  Директор ОУ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Царакова А.А.________________</w:t>
            </w:r>
          </w:p>
        </w:tc>
        <w:tc>
          <w:tcPr>
            <w:tcW w:w="4765" w:type="dxa"/>
          </w:tcPr>
          <w:p>
            <w:pPr>
              <w:ind w:left="5643" w:hanging="5643" w:hangingChars="2350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СозаеваЭ.Ю._____________________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«_________»_____________20___</w:t>
            </w:r>
          </w:p>
        </w:tc>
        <w:tc>
          <w:tcPr>
            <w:tcW w:w="4765" w:type="dxa"/>
          </w:tcPr>
          <w:p>
            <w:pP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«________»________________20_____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4765" w:type="dxa"/>
          </w:tcPr>
          <w:p>
            <w:pP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eastAsia="en-US"/>
              </w:rPr>
            </w:pPr>
          </w:p>
        </w:tc>
      </w:tr>
    </w:tbl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</w:p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tabs>
          <w:tab w:val="left" w:pos="3195"/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  План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  работы с одаренными детьми по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              математике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 xml:space="preserve"> в 6 классе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на 20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>22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-20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>23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учебный год</w:t>
      </w: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262255</wp:posOffset>
            </wp:positionV>
            <wp:extent cx="2057400" cy="1933575"/>
            <wp:effectExtent l="0" t="0" r="0" b="9525"/>
            <wp:wrapTight wrapText="bothSides">
              <wp:wrapPolygon>
                <wp:start x="0" y="0"/>
                <wp:lineTo x="0" y="21494"/>
                <wp:lineTo x="21400" y="21494"/>
                <wp:lineTo x="21400" y="0"/>
                <wp:lineTo x="0" y="0"/>
              </wp:wrapPolygon>
            </wp:wrapTight>
            <wp:docPr id="4" name="Рисунок 1" descr="pamiatka-roditieliam-odariennykh-diet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pamiatka-roditieliam-odariennykh-dietie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Учитель математики: ЦаллаеваЭ.Э.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 </w:t>
      </w:r>
    </w:p>
    <w:p>
      <w:pP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br w:type="page"/>
      </w:r>
    </w:p>
    <w:p>
      <w:pP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План</w:t>
      </w:r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 работы с одаренными детьми по</w:t>
      </w:r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математике</w:t>
      </w:r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на 20</w:t>
      </w:r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val="en-US" w:eastAsia="ru-RU"/>
        </w:rPr>
        <w:t>22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-20</w:t>
      </w:r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>
      <w:pPr>
        <w:pStyle w:val="8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8"/>
          <w:szCs w:val="28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</w:rPr>
        <w:t xml:space="preserve">Введение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Годы кризиса в России негативно отразились на интеллектуальном уровне образования. Установка на массовое образование снизила возможность развития интеллектуального ресурса, и только современная реформа образования в России позволила вновь обратиться к поддержке одаренных детей, ведь талантливая молодежь – это будущая национальная, профессиональная элита. Современная педагогика также выделяет работу с одарёнными детьми одним из основных положений педагогической системы в рамках ФГОС.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уделять особое внимание психолого–педагогической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удовлетворение потребности в новой информации (широкая информационно – коммуникативная адаптация);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помощь одарённым детям в самораскрытии (их творческая направленность, самопрезентация в отношениях).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u w:val="single"/>
          <w:lang w:eastAsia="ru-RU"/>
        </w:rPr>
        <w:t>Принципы работы с одаренными детьми в сфере образования: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 познавательную потребность; испытывают радость от добывания знаний.</w:t>
      </w: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Условно мы выделяем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три категории одаренных детей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Условия успешной работы с одаренными учащимися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и постоянное совершенствование методической системы работы с одаренными детьми.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работы с одаренными учащимися: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групповые занятия с сильными учащимися;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факультативы;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кружки по интересам;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конкурсы и конференции;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интеллектуальный марафон;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участие в олимпиадах;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спецкурсы.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План работы с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одаренными детьми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по математике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22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– 20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23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Характеристика учеников: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доминирующую активную познавательную потребность; испытывают радость от добывания знаний.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формирование у школьников целостного видения мира и понимание места и роли человека в этом мире, превращение всей получаемой учащимися в процессе обучения информации в личностно значимую для каждого ученика; развитие и выработка социально ценностных компетенций у учащихся; углубление знаний по математике, совершенствование навыков работы в решении задач; развитие творческого потенциала и навыков исследовательской деятельности.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9645" w:type="dxa"/>
        <w:tblCellSpacing w:w="0" w:type="dxa"/>
        <w:tblInd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80"/>
        <w:gridCol w:w="6511"/>
        <w:gridCol w:w="2154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Изучение интересов и склонностей обучающихся; уточнение критериев всех видов одарённости. Формирование списков обучающихся(практическое занятие)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Разработка тематики проектных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работ, составление плана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работы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Подготовка учащихся к участию в дистанционных конкурсах различного уровня (заочные олимпиады и викторины по математики).</w:t>
            </w:r>
          </w:p>
        </w:tc>
        <w:tc>
          <w:tcPr>
            <w:tcW w:w="20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95" w:hRule="atLeast"/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Привлекать одаренных, мотивированных учащихся к осуществлению помощи слабоуспевающим в классе.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Обучение работе со справочной, дополнительной литературой, интернет - ресурсами.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Работа над исследовательскими работами и их публикации.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 - январь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Подготовка и проведение Международного математического конкурса – игры «Кенгуру»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Подготовка и проведение Недели математики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Подбор заданий повышенного уровня сложности для одарённых детей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5" w:hRule="atLeast"/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Индивидуальные занятия.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  <w:tblCellSpacing w:w="0" w:type="dxa"/>
        </w:trPr>
        <w:tc>
          <w:tcPr>
            <w:tcW w:w="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Анализ работы с одаренными учащимися за 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учебный год, перспективы в работе на 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spacing w:beforeLines="0" w:afterLines="0"/>
        <w:jc w:val="left"/>
        <w:rPr>
          <w:rFonts w:hint="default" w:ascii="Symbol" w:hAnsi="Symbol" w:eastAsia="Symbol"/>
          <w:color w:val="000000"/>
          <w:sz w:val="32"/>
          <w:szCs w:val="32"/>
          <w:lang w:val="ru-RU"/>
        </w:rPr>
      </w:pPr>
      <w:r>
        <w:rPr>
          <w:rFonts w:hint="default" w:ascii="Symbol" w:hAnsi="Symbol" w:eastAsia="Symbol"/>
          <w:color w:val="000000"/>
          <w:sz w:val="32"/>
          <w:szCs w:val="32"/>
          <w:lang w:val="ru-RU"/>
        </w:rPr>
        <w:t>Темы проектных работ:</w:t>
      </w:r>
    </w:p>
    <w:p>
      <w:pPr>
        <w:spacing w:beforeLines="0" w:after="44" w:afterLines="0"/>
        <w:ind w:firstLine="160" w:firstLineChars="50"/>
        <w:jc w:val="left"/>
        <w:rPr>
          <w:rFonts w:hint="default" w:ascii="Times New Roman" w:hAnsi="Times New Roman" w:eastAsia="Times New Roman"/>
          <w:color w:val="000000"/>
          <w:sz w:val="32"/>
          <w:szCs w:val="32"/>
        </w:rPr>
      </w:pP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>-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Числа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великаны и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числа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малютки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>.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spacing w:beforeLines="0" w:after="44" w:afterLines="0"/>
        <w:ind w:firstLine="160" w:firstLineChars="50"/>
        <w:jc w:val="left"/>
        <w:rPr>
          <w:rFonts w:hint="default" w:ascii="Times New Roman" w:hAnsi="Times New Roman" w:eastAsia="Times New Roman"/>
          <w:color w:val="000000"/>
          <w:sz w:val="32"/>
          <w:szCs w:val="32"/>
        </w:rPr>
      </w:pP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>-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Как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люди научились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считать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>.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spacing w:beforeLines="0" w:after="44" w:afterLines="0"/>
        <w:ind w:firstLine="160" w:firstLineChars="50"/>
        <w:jc w:val="left"/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</w:pP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>-История возникновения положительных и отрицательных чисел.</w:t>
      </w:r>
    </w:p>
    <w:p>
      <w:pPr>
        <w:spacing w:beforeLines="0" w:after="44" w:afterLines="0"/>
        <w:ind w:firstLine="160" w:firstLineChars="50"/>
        <w:jc w:val="left"/>
        <w:rPr>
          <w:rFonts w:hint="default" w:ascii="Times New Roman" w:hAnsi="Times New Roman" w:eastAsia="Times New Roman"/>
          <w:color w:val="000000"/>
          <w:sz w:val="32"/>
          <w:szCs w:val="32"/>
        </w:rPr>
      </w:pP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>-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История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возникновения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обыкновенных и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десятичных дробей.</w:t>
      </w:r>
    </w:p>
    <w:p>
      <w:pPr>
        <w:spacing w:beforeLines="0" w:afterLines="0"/>
        <w:ind w:firstLine="160" w:firstLineChars="50"/>
        <w:jc w:val="left"/>
        <w:rPr>
          <w:rFonts w:hint="default" w:ascii="Times New Roman" w:hAnsi="Times New Roman" w:eastAsia="Times New Roman"/>
          <w:color w:val="000000"/>
          <w:sz w:val="32"/>
          <w:szCs w:val="32"/>
        </w:rPr>
      </w:pP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>-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История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2"/>
          <w:szCs w:val="32"/>
        </w:rPr>
        <w:t>календаря</w:t>
      </w: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Источники: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Ӏ.Нормативно-правовая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база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организации работы с одарёнными детьми 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Электронный ресурс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Министерства образования и науки. сайт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http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://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standart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edu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/.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«Федеральный Государственный Образовательный Стандарт», утвержден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приказом от 17 декабря 2010 года Министерства образования и науки РФ. сайт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http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://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standart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edu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/.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Концепции духовно-нравственного развития и воспитания личности гражданина России».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http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://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standart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edu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/.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Концепция поддержки одаренных детей. Режим доступа: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http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://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www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menobr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materials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/164/30058/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ӀӀ.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понятия: индивидуальность, способность, одаренность, талант, одаренные дети и детская одаренность. Психологические особенности одаренных детей.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Азарова Л.Н. Работа с одаренными детьми. - Москва, 2010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2.Иванова Е. А Психологические особенности одаренных детей и их психолого-педагогическое сопровождение. -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Москва 2006 год.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Леднева С.А. Детская одаренность глазами педагогов. </w:t>
      </w:r>
      <w:r>
        <w:rPr>
          <w:rFonts w:ascii="Times New Roman" w:hAnsi="Times New Roman" w:eastAsia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Начальная школа.- 2003.-№ 1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Савенков А.И. Проблемы и психология детской одаренности. - М., 2010.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Уласевич С.А. Одарённые дети. - Москва. 2008 год.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Хуторской А.В. Развитие одаренности школьников: Методика продуктивного обучения: Пособие для учителя. – М., 2000. </w:t>
      </w: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 работе с одаренными детьми придерживаюсь следующих рекомендаций: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Стимулируйте ученика, хвалите, не бойтесь поставить оценку на балл выше, но не наоборот.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личности невозможно без развития его творческого потенциала. Поэтому и внеклассная работа способствует творческому развитию учащихся. Особенно большую роль играют недели математики, включающие различные формы работы: конкурсы,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соревновании с друзьями, нести ответственность за команду, желание заслужить одобрение сверстников, придают этим видам деятельности мотивированный характер. А ведь именно на этом этапе следует предлагать как можно больше занимательного и интересного материала. Важна и самостоятельная работа ребенка, т.к. в ходе самостоятельной работы каждый ученик непосредственно соприкасается с усваиваемым материалом, концентрирует своё внимание, мобилизуя все резервы интеллектуального, эмоционального и волевого характера.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46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sz w:val="23"/>
                <w:szCs w:val="24"/>
              </w:rPr>
              <w:t xml:space="preserve">Примерный план и тематика занятий №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sz w:val="23"/>
                <w:szCs w:val="24"/>
              </w:rPr>
              <w:t xml:space="preserve">Темы занятий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sz w:val="23"/>
                <w:szCs w:val="24"/>
              </w:rPr>
              <w:t xml:space="preserve">Количество часов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Математические игры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>час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Числовые задачи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3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Задачи на проценты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ч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Логические задачи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4 час.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Текстовые задачи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 xml:space="preserve">5 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>час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Задачи на делимость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>час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Задачи на принцип Дирихле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час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Задачи на инвариант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час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Задачи с геометрическим содержанием 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</w:rPr>
              <w:t xml:space="preserve"> час</w:t>
            </w:r>
            <w:r>
              <w:rPr>
                <w:rFonts w:hint="default" w:ascii="Times New Roman" w:hAnsi="Times New Roman" w:eastAsia="Times New Roman"/>
                <w:color w:val="000000"/>
                <w:sz w:val="23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ind w:firstLine="560" w:firstLineChars="20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ind w:firstLine="560" w:firstLineChars="20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ind w:firstLine="700" w:firstLineChars="2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С ПОВЫШЕННОЙ МОТИВАЦИЕЙ</w:t>
      </w:r>
    </w:p>
    <w:p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72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7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5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12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7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Бекоев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1212" w:type="dxa"/>
          </w:tcPr>
          <w:p>
            <w:pPr>
              <w:tabs>
                <w:tab w:val="left" w:pos="11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7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Сосранов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Скиф</w:t>
            </w:r>
          </w:p>
        </w:tc>
        <w:tc>
          <w:tcPr>
            <w:tcW w:w="1212" w:type="dxa"/>
          </w:tcPr>
          <w:p>
            <w:pPr>
              <w:tabs>
                <w:tab w:val="left" w:pos="11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67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Кира</w:t>
            </w:r>
          </w:p>
        </w:tc>
        <w:tc>
          <w:tcPr>
            <w:tcW w:w="1212" w:type="dxa"/>
          </w:tcPr>
          <w:p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8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36"/>
          <w:szCs w:val="36"/>
        </w:rPr>
      </w:pPr>
    </w:p>
    <w:p>
      <w:pPr>
        <w:pStyle w:val="8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36"/>
          <w:szCs w:val="36"/>
        </w:rPr>
      </w:pPr>
    </w:p>
    <w:p>
      <w:pPr>
        <w:pStyle w:val="8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426" w:left="1701" w:header="708" w:footer="708" w:gutter="0"/>
      <w:pgBorders w:display="firstPage" w:offsetFrom="page">
        <w:top w:val="thinThickThinSmallGap" w:color="auto" w:sz="24" w:space="24"/>
        <w:left w:val="thinThickThinSmallGap" w:color="auto" w:sz="24" w:space="24"/>
        <w:bottom w:val="thinThickThinSmallGap" w:color="auto" w:sz="24" w:space="24"/>
        <w:right w:val="thinThickThinSmall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86CD4"/>
    <w:multiLevelType w:val="multilevel"/>
    <w:tmpl w:val="06786C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A4368EA"/>
    <w:multiLevelType w:val="multilevel"/>
    <w:tmpl w:val="0A4368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EED"/>
    <w:multiLevelType w:val="multilevel"/>
    <w:tmpl w:val="3E225E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6F7451B"/>
    <w:multiLevelType w:val="multilevel"/>
    <w:tmpl w:val="46F745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1D30"/>
    <w:rsid w:val="002F67ED"/>
    <w:rsid w:val="0041643A"/>
    <w:rsid w:val="004D6220"/>
    <w:rsid w:val="00687A60"/>
    <w:rsid w:val="006F2185"/>
    <w:rsid w:val="007A293E"/>
    <w:rsid w:val="00A036D3"/>
    <w:rsid w:val="00BE6B9B"/>
    <w:rsid w:val="00D067E3"/>
    <w:rsid w:val="00DF1880"/>
    <w:rsid w:val="00FF3D15"/>
    <w:rsid w:val="05C12629"/>
    <w:rsid w:val="0C2916E9"/>
    <w:rsid w:val="127D423C"/>
    <w:rsid w:val="128917F2"/>
    <w:rsid w:val="256F65DC"/>
    <w:rsid w:val="3B654A51"/>
    <w:rsid w:val="3EE01103"/>
    <w:rsid w:val="4D3C246A"/>
    <w:rsid w:val="583E0894"/>
    <w:rsid w:val="636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qFormat/>
    <w:uiPriority w:val="99"/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Symbol" w:hAnsi="Symbol" w:eastAsia="Symbol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1406</Words>
  <Characters>8020</Characters>
  <Lines>66</Lines>
  <Paragraphs>18</Paragraphs>
  <TotalTime>69</TotalTime>
  <ScaleCrop>false</ScaleCrop>
  <LinksUpToDate>false</LinksUpToDate>
  <CharactersWithSpaces>9408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2019-02-02T15:25:00Z</dcterms:created>
  <dc:creator>ирбег</dc:creator>
  <cp:lastModifiedBy>Emma</cp:lastModifiedBy>
  <cp:lastPrinted>2022-12-01T10:57:41Z</cp:lastPrinted>
  <dcterms:modified xsi:type="dcterms:W3CDTF">2022-12-01T10:59:06Z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0FE85ADD778C4C6D886DEFD830948240</vt:lpwstr>
  </property>
</Properties>
</file>